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BA33" w14:textId="6FDF8CEC" w:rsidR="003E45D4" w:rsidRPr="004608B9" w:rsidRDefault="003E45D4" w:rsidP="004608B9">
      <w:pPr>
        <w:rPr>
          <w:b/>
          <w:bCs/>
          <w:sz w:val="24"/>
          <w:szCs w:val="24"/>
        </w:rPr>
      </w:pPr>
      <w:r w:rsidRPr="004608B9">
        <w:rPr>
          <w:b/>
          <w:bCs/>
          <w:sz w:val="24"/>
          <w:szCs w:val="24"/>
        </w:rPr>
        <w:t>Gymnasium en oudheidonderwijs in het basisonderwijs</w:t>
      </w:r>
    </w:p>
    <w:p w14:paraId="5D121C48" w14:textId="3CDE32FC" w:rsidR="00B01DB8" w:rsidRDefault="00EF7C6C">
      <w:r>
        <w:t>Tijdens de PO-sectorraad bijeenkomst op 11 oktober 2024 heeft de BGV een steekproef uitgevoerd onder 30 aanwezigen, verbonden met het primair (speciaal) onderwijs</w:t>
      </w:r>
      <w:r w:rsidR="003E45D4">
        <w:t xml:space="preserve">. Aanleiding voor dit korte onderzoek waren zorgen over de toegankelijkheid van het gymnasium en onderwijs over de oudheid in het basisonderwijs. </w:t>
      </w:r>
    </w:p>
    <w:p w14:paraId="781D3D9E" w14:textId="43741C00" w:rsidR="004608B9" w:rsidRPr="004608B9" w:rsidRDefault="004608B9">
      <w:pPr>
        <w:rPr>
          <w:b/>
          <w:bCs/>
        </w:rPr>
      </w:pPr>
      <w:r w:rsidRPr="004608B9">
        <w:rPr>
          <w:b/>
          <w:bCs/>
        </w:rPr>
        <w:t>Gymnasium en kansenongelijkheid</w:t>
      </w:r>
    </w:p>
    <w:p w14:paraId="0C086FBC" w14:textId="1A191E79" w:rsidR="003E45D4" w:rsidRDefault="003E45D4">
      <w:r>
        <w:t>Er is momenteel veel maatschappelijke aandacht voor kansenongelijkheid en dit heeft ook betrekking op het gymnasium. Welke leerlingen stromen vanuit het basisonderwijs door naar een gymnasiumopleiding en op basis waarvan vindt deze selectie plaats? Deze vraagstukken zijn complex en er zijn verschillende factoren aan te wijzen die bijdragen aan de ontoegankelijkheid van het gymnasium voor verschillende groepen kinderen in de Nederlandse samenleving. Eén van de oorzaken hiervan is het proces en de wijze van advisering in groep 8, waardoor kansrijke kinderen niet altijd op een gymnasiumopleiding terecht komen. Wij constateerden op basis van informele en individuele informatie en ervaringen dat in ieder geval een deel van de leerkrachten in groep 7-8 zelf aan</w:t>
      </w:r>
      <w:r w:rsidR="004608B9">
        <w:t xml:space="preserve">geeft niet genoeg kennis van gymnasiaal onderwijs te hebben, en </w:t>
      </w:r>
      <w:proofErr w:type="gramStart"/>
      <w:r w:rsidR="004608B9">
        <w:t>dientengevolge</w:t>
      </w:r>
      <w:proofErr w:type="gramEnd"/>
      <w:r w:rsidR="004608B9">
        <w:t xml:space="preserve"> ook geen goed advies kan geven. </w:t>
      </w:r>
      <w:proofErr w:type="gramStart"/>
      <w:r w:rsidR="004608B9">
        <w:t>Middels</w:t>
      </w:r>
      <w:proofErr w:type="gramEnd"/>
      <w:r w:rsidR="004608B9">
        <w:t xml:space="preserve"> </w:t>
      </w:r>
      <w:r w:rsidR="00970094">
        <w:t>een</w:t>
      </w:r>
      <w:r w:rsidR="004608B9">
        <w:t xml:space="preserve"> steekproef hebben wij gepoogd te peilen of dit gevoel in het primair onderwijs breder gedragen wordt.</w:t>
      </w:r>
    </w:p>
    <w:p w14:paraId="08D04EEA" w14:textId="2A6E6919" w:rsidR="004608B9" w:rsidRDefault="004608B9">
      <w:r>
        <w:t xml:space="preserve">Gestelde vraag: </w:t>
      </w:r>
      <w:r w:rsidRPr="00576ECE">
        <w:rPr>
          <w:i/>
          <w:iCs/>
        </w:rPr>
        <w:t>Is er volgens u onder PO leerkrachten (met name in groep 7-8) behoefte aan informatie over het gymnasiumadvies en het schooltype?</w:t>
      </w:r>
    </w:p>
    <w:tbl>
      <w:tblPr>
        <w:tblStyle w:val="Tabelraster"/>
        <w:tblW w:w="0" w:type="auto"/>
        <w:tblLook w:val="04A0" w:firstRow="1" w:lastRow="0" w:firstColumn="1" w:lastColumn="0" w:noHBand="0" w:noVBand="1"/>
      </w:tblPr>
      <w:tblGrid>
        <w:gridCol w:w="5098"/>
        <w:gridCol w:w="3964"/>
      </w:tblGrid>
      <w:tr w:rsidR="004608B9" w14:paraId="03B0A88D" w14:textId="77777777" w:rsidTr="004608B9">
        <w:tc>
          <w:tcPr>
            <w:tcW w:w="5098" w:type="dxa"/>
          </w:tcPr>
          <w:p w14:paraId="01F54C3D" w14:textId="0C2E18C4" w:rsidR="004608B9" w:rsidRDefault="004608B9">
            <w:r>
              <w:t>Er is voldoende kennis</w:t>
            </w:r>
          </w:p>
        </w:tc>
        <w:tc>
          <w:tcPr>
            <w:tcW w:w="3964" w:type="dxa"/>
          </w:tcPr>
          <w:p w14:paraId="3A7A5F8E" w14:textId="52E3DF15" w:rsidR="004608B9" w:rsidRDefault="004608B9">
            <w:r>
              <w:t>21%</w:t>
            </w:r>
          </w:p>
        </w:tc>
      </w:tr>
      <w:tr w:rsidR="004608B9" w14:paraId="7EC2D150" w14:textId="77777777" w:rsidTr="004608B9">
        <w:tc>
          <w:tcPr>
            <w:tcW w:w="5098" w:type="dxa"/>
          </w:tcPr>
          <w:p w14:paraId="2B3EEB29" w14:textId="1FF4B925" w:rsidR="004608B9" w:rsidRDefault="004608B9">
            <w:r>
              <w:t>Er is onvoldoende kennis, maar wel een behoefte</w:t>
            </w:r>
          </w:p>
        </w:tc>
        <w:tc>
          <w:tcPr>
            <w:tcW w:w="3964" w:type="dxa"/>
          </w:tcPr>
          <w:p w14:paraId="27D057BE" w14:textId="048167AD" w:rsidR="004608B9" w:rsidRDefault="004608B9">
            <w:r>
              <w:t>47%</w:t>
            </w:r>
          </w:p>
        </w:tc>
      </w:tr>
      <w:tr w:rsidR="004608B9" w14:paraId="1A670B89" w14:textId="77777777" w:rsidTr="004608B9">
        <w:tc>
          <w:tcPr>
            <w:tcW w:w="5098" w:type="dxa"/>
          </w:tcPr>
          <w:p w14:paraId="12E4DA3C" w14:textId="09FA0663" w:rsidR="004608B9" w:rsidRDefault="004608B9">
            <w:r>
              <w:t>Er is onvoldoende kennis, maar geen behoefte</w:t>
            </w:r>
          </w:p>
        </w:tc>
        <w:tc>
          <w:tcPr>
            <w:tcW w:w="3964" w:type="dxa"/>
          </w:tcPr>
          <w:p w14:paraId="7094E01F" w14:textId="531F3CBD" w:rsidR="004608B9" w:rsidRDefault="004608B9">
            <w:r>
              <w:t>16%</w:t>
            </w:r>
          </w:p>
        </w:tc>
      </w:tr>
      <w:tr w:rsidR="004608B9" w14:paraId="76AFAF7F" w14:textId="77777777" w:rsidTr="004608B9">
        <w:tc>
          <w:tcPr>
            <w:tcW w:w="5098" w:type="dxa"/>
          </w:tcPr>
          <w:p w14:paraId="7E324D6C" w14:textId="32443D56" w:rsidR="004608B9" w:rsidRDefault="004608B9">
            <w:r>
              <w:t>Ik heb hier geen zicht op</w:t>
            </w:r>
          </w:p>
        </w:tc>
        <w:tc>
          <w:tcPr>
            <w:tcW w:w="3964" w:type="dxa"/>
          </w:tcPr>
          <w:p w14:paraId="6AD13373" w14:textId="1E053B84" w:rsidR="004608B9" w:rsidRDefault="004608B9">
            <w:r>
              <w:t>16%</w:t>
            </w:r>
          </w:p>
        </w:tc>
      </w:tr>
    </w:tbl>
    <w:p w14:paraId="7AFC25C3" w14:textId="77777777" w:rsidR="004608B9" w:rsidRDefault="004608B9"/>
    <w:p w14:paraId="7EB4B1FF" w14:textId="6E2E22DB" w:rsidR="004608B9" w:rsidRDefault="004608B9">
      <w:r>
        <w:t xml:space="preserve">Gestelde vraag: </w:t>
      </w:r>
      <w:r w:rsidRPr="00576ECE">
        <w:rPr>
          <w:i/>
          <w:iCs/>
        </w:rPr>
        <w:t xml:space="preserve">Hoe zouden wij als </w:t>
      </w:r>
      <w:proofErr w:type="gramStart"/>
      <w:r w:rsidRPr="00576ECE">
        <w:rPr>
          <w:i/>
          <w:iCs/>
        </w:rPr>
        <w:t>BGV kennis</w:t>
      </w:r>
      <w:proofErr w:type="gramEnd"/>
      <w:r w:rsidRPr="00576ECE">
        <w:rPr>
          <w:i/>
          <w:iCs/>
        </w:rPr>
        <w:t xml:space="preserve"> over het gymnasium kunnen verspreiden onder PO leerkrachten?</w:t>
      </w:r>
    </w:p>
    <w:p w14:paraId="57DE573B" w14:textId="36F73B26" w:rsidR="00970094" w:rsidRDefault="00576ECE">
      <w:r>
        <w:t>Veel genoemde adviezen waren: een website maken, bestaande informatie actief verspreiden onder leerkrachten, schoolbesturen en directies aanschrijven, gratis korte cursus aanbieden, excursies organiseren naar gymnasia, proeflessen aanbieden, lesideeën en leestips delen, meer aandacht hiervoor tijdens open dagen</w:t>
      </w:r>
      <w:r w:rsidR="00866129">
        <w:t>, verdere bekendheid genereren via de onderwijsbond.</w:t>
      </w:r>
    </w:p>
    <w:p w14:paraId="11A0A8AD" w14:textId="44508043" w:rsidR="004608B9" w:rsidRDefault="00576ECE" w:rsidP="00576ECE">
      <w:r>
        <w:t xml:space="preserve">Tijdens de bijeenkomst hebben wij de website </w:t>
      </w:r>
      <w:hyperlink r:id="rId7" w:history="1">
        <w:r w:rsidRPr="00EC0A89">
          <w:rPr>
            <w:rStyle w:val="Hyperlink"/>
          </w:rPr>
          <w:t>www.waaromgymnasium.nl</w:t>
        </w:r>
      </w:hyperlink>
      <w:r>
        <w:t xml:space="preserve"> gepromoot en leeslijsten voor het basisonderwijs uitgedeeld. Dit werd zeer positief ontvangen door de aanwezigen.</w:t>
      </w:r>
    </w:p>
    <w:p w14:paraId="7EFEEA78" w14:textId="3C2EBEC6" w:rsidR="004608B9" w:rsidRPr="004608B9" w:rsidRDefault="004608B9">
      <w:pPr>
        <w:rPr>
          <w:b/>
          <w:bCs/>
        </w:rPr>
      </w:pPr>
      <w:r w:rsidRPr="004608B9">
        <w:rPr>
          <w:b/>
          <w:bCs/>
        </w:rPr>
        <w:t>Onderwijs over de oudheid voor selectieve groep</w:t>
      </w:r>
    </w:p>
    <w:p w14:paraId="501721EF" w14:textId="6C461822" w:rsidR="004608B9" w:rsidRDefault="004608B9">
      <w:r>
        <w:t>Een tweede kwestie die aansluit bij de toegankelijkheid van onderwijs over de oudheid is dat een deel van de leerlingen in het Nederlandse onderwijs door hun verondersteld niveau veel minder toegang krijgt tot oudheidonderwijs.</w:t>
      </w:r>
      <w:r w:rsidR="00970094">
        <w:t xml:space="preserve"> Dit probleem doet zich met name voor op de middelbare scholen, waar alleen gymnasiumleerlingen Grieks en Latijn leren en de culturen van de oudheid bestuderen. Ook in het basisonderwijs bestaan er plus-klassen en pre-gymnasiumprogramma’s, maar ook deze zijn bedoeld voor een specifieke en geselecteerde groep. Er zijn echter ook voorbeelden van onderwijsprogramma’s waarbij </w:t>
      </w:r>
      <w:r w:rsidR="00970094" w:rsidRPr="00970094">
        <w:rPr>
          <w:i/>
          <w:iCs/>
        </w:rPr>
        <w:t>alle</w:t>
      </w:r>
      <w:r w:rsidR="00970094">
        <w:t xml:space="preserve"> kinderen in de klas kennismaken met </w:t>
      </w:r>
      <w:r w:rsidR="00970094">
        <w:lastRenderedPageBreak/>
        <w:t xml:space="preserve">Grieks en Latijn, zoals het project </w:t>
      </w:r>
      <w:r w:rsidR="00970094" w:rsidRPr="00970094">
        <w:rPr>
          <w:i/>
          <w:iCs/>
        </w:rPr>
        <w:t>Oude Grieken – Jonge Helden</w:t>
      </w:r>
      <w:r w:rsidR="00970094">
        <w:t>.</w:t>
      </w:r>
      <w:r w:rsidR="00970094">
        <w:rPr>
          <w:rStyle w:val="Voetnootmarkering"/>
        </w:rPr>
        <w:footnoteReference w:id="1"/>
      </w:r>
      <w:r w:rsidR="00970094">
        <w:t xml:space="preserve"> De onderzoeksresultaten laten zien dat deze lessen niet alleen de kennis, maar ook het zelfvertrouwen van leerlingen vergroten. </w:t>
      </w:r>
      <w:proofErr w:type="gramStart"/>
      <w:r w:rsidR="00970094">
        <w:t>Middels</w:t>
      </w:r>
      <w:proofErr w:type="gramEnd"/>
      <w:r w:rsidR="00970094">
        <w:t xml:space="preserve"> een tweede steekproef hebben wij gepoogd te peilen of PO leerkrachten zich voldoende uitgerust voelen om (meer) onderwijs over de oudheid te geven.</w:t>
      </w:r>
    </w:p>
    <w:p w14:paraId="01CCFB1F" w14:textId="136AAE7D" w:rsidR="004608B9" w:rsidRDefault="004608B9">
      <w:r>
        <w:t xml:space="preserve">Gestelde vraag: </w:t>
      </w:r>
      <w:r w:rsidRPr="00576ECE">
        <w:rPr>
          <w:i/>
          <w:iCs/>
        </w:rPr>
        <w:t>Is er volgens u onder PO leerkrachten animo voor nascholingsactiviteiten om de klassieken in de klas te brengen?</w:t>
      </w:r>
    </w:p>
    <w:tbl>
      <w:tblPr>
        <w:tblStyle w:val="Tabelraster"/>
        <w:tblW w:w="0" w:type="auto"/>
        <w:tblLook w:val="04A0" w:firstRow="1" w:lastRow="0" w:firstColumn="1" w:lastColumn="0" w:noHBand="0" w:noVBand="1"/>
      </w:tblPr>
      <w:tblGrid>
        <w:gridCol w:w="5098"/>
        <w:gridCol w:w="3964"/>
      </w:tblGrid>
      <w:tr w:rsidR="004608B9" w14:paraId="3F739794" w14:textId="77777777" w:rsidTr="00BF61C7">
        <w:tc>
          <w:tcPr>
            <w:tcW w:w="5098" w:type="dxa"/>
          </w:tcPr>
          <w:p w14:paraId="5850ED59" w14:textId="3BFCC2C6" w:rsidR="004608B9" w:rsidRDefault="004608B9" w:rsidP="00BF61C7">
            <w:r>
              <w:t>Ik denk het wel</w:t>
            </w:r>
          </w:p>
        </w:tc>
        <w:tc>
          <w:tcPr>
            <w:tcW w:w="3964" w:type="dxa"/>
          </w:tcPr>
          <w:p w14:paraId="33AE4401" w14:textId="3CD2209C" w:rsidR="004608B9" w:rsidRDefault="004608B9" w:rsidP="00BF61C7">
            <w:r>
              <w:t>32%</w:t>
            </w:r>
          </w:p>
        </w:tc>
      </w:tr>
      <w:tr w:rsidR="004608B9" w14:paraId="0334B32A" w14:textId="77777777" w:rsidTr="00BF61C7">
        <w:tc>
          <w:tcPr>
            <w:tcW w:w="5098" w:type="dxa"/>
          </w:tcPr>
          <w:p w14:paraId="508AF1F7" w14:textId="55E42C91" w:rsidR="004608B9" w:rsidRDefault="004608B9" w:rsidP="00BF61C7">
            <w:r>
              <w:t>Ik denk het niet</w:t>
            </w:r>
          </w:p>
        </w:tc>
        <w:tc>
          <w:tcPr>
            <w:tcW w:w="3964" w:type="dxa"/>
          </w:tcPr>
          <w:p w14:paraId="7D716B77" w14:textId="77777777" w:rsidR="004608B9" w:rsidRDefault="004608B9" w:rsidP="00BF61C7">
            <w:r>
              <w:t>47%</w:t>
            </w:r>
          </w:p>
        </w:tc>
      </w:tr>
      <w:tr w:rsidR="004608B9" w14:paraId="2324111C" w14:textId="77777777" w:rsidTr="00BF61C7">
        <w:tc>
          <w:tcPr>
            <w:tcW w:w="5098" w:type="dxa"/>
          </w:tcPr>
          <w:p w14:paraId="17C9FA59" w14:textId="21B621CF" w:rsidR="004608B9" w:rsidRDefault="004608B9" w:rsidP="00BF61C7">
            <w:r>
              <w:t>Ik heb hier geen zicht op</w:t>
            </w:r>
          </w:p>
        </w:tc>
        <w:tc>
          <w:tcPr>
            <w:tcW w:w="3964" w:type="dxa"/>
          </w:tcPr>
          <w:p w14:paraId="3A95E2A1" w14:textId="18EB3C08" w:rsidR="004608B9" w:rsidRDefault="004608B9" w:rsidP="00BF61C7">
            <w:r>
              <w:t>21%</w:t>
            </w:r>
          </w:p>
        </w:tc>
      </w:tr>
    </w:tbl>
    <w:p w14:paraId="30CD8AC1" w14:textId="77777777" w:rsidR="004608B9" w:rsidRDefault="004608B9"/>
    <w:p w14:paraId="43D33D47" w14:textId="7EA7366A" w:rsidR="004608B9" w:rsidRDefault="004608B9">
      <w:r>
        <w:t xml:space="preserve">Gestelde vraag: </w:t>
      </w:r>
      <w:r w:rsidRPr="00576ECE">
        <w:rPr>
          <w:i/>
          <w:iCs/>
        </w:rPr>
        <w:t>Wat zijn voorwaarden om een dergelijke activiteit succesvol te laten zijn?</w:t>
      </w:r>
    </w:p>
    <w:p w14:paraId="2B8021AB" w14:textId="507E0D9C" w:rsidR="00576ECE" w:rsidRDefault="00576ECE">
      <w:r>
        <w:t>Veel genoemde adviezen waren: concreet en laagdrempelig, eventueel online, weinig tijdsinvestering, direct en praktisch toepasbaar, prikkelend en interessant maken (stoffig imago ontkrachten), mooie verhalen centraal stellen, aansluiten bij leeftijd, niveau en interesse van leerlingen, uitleggen waarom het nodig is, leerlingen uitnodigen op de middelbare school, werken vanuit de vraag en behoefte van het veld.</w:t>
      </w:r>
    </w:p>
    <w:p w14:paraId="5067D861" w14:textId="0D984A79" w:rsidR="00576ECE" w:rsidRPr="00576ECE" w:rsidRDefault="00576ECE">
      <w:pPr>
        <w:rPr>
          <w:b/>
          <w:bCs/>
        </w:rPr>
      </w:pPr>
      <w:r w:rsidRPr="00576ECE">
        <w:rPr>
          <w:b/>
          <w:bCs/>
        </w:rPr>
        <w:t>Conclusies</w:t>
      </w:r>
    </w:p>
    <w:p w14:paraId="5B36E294" w14:textId="3E85E85E" w:rsidR="00576ECE" w:rsidRDefault="00576ECE">
      <w:r>
        <w:t xml:space="preserve">Op basis van deze steekproeven concludeert de BGV dat er voldoende grond is om de genoemde onderwerpen verder te onderzoeken en bij te dragen aan het vergroten van informatie over het gymnasium en over onderwijs over de oudheid in het basisonderwijs. </w:t>
      </w:r>
      <w:r w:rsidR="00866129">
        <w:t>Wij zullen hiermee aan de slag gaan en nemen daarbij de adviezen van onze collega’s uit het primair onderwijs ter harte.</w:t>
      </w:r>
    </w:p>
    <w:sectPr w:rsidR="00576E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274D" w14:textId="77777777" w:rsidR="00CB11CF" w:rsidRDefault="00CB11CF" w:rsidP="00970094">
      <w:pPr>
        <w:spacing w:after="0" w:line="240" w:lineRule="auto"/>
      </w:pPr>
      <w:r>
        <w:separator/>
      </w:r>
    </w:p>
  </w:endnote>
  <w:endnote w:type="continuationSeparator" w:id="0">
    <w:p w14:paraId="4818F4EB" w14:textId="77777777" w:rsidR="00CB11CF" w:rsidRDefault="00CB11CF" w:rsidP="0097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50B3" w14:textId="77777777" w:rsidR="00CB11CF" w:rsidRDefault="00CB11CF" w:rsidP="00970094">
      <w:pPr>
        <w:spacing w:after="0" w:line="240" w:lineRule="auto"/>
      </w:pPr>
      <w:r>
        <w:separator/>
      </w:r>
    </w:p>
  </w:footnote>
  <w:footnote w:type="continuationSeparator" w:id="0">
    <w:p w14:paraId="728A2451" w14:textId="77777777" w:rsidR="00CB11CF" w:rsidRDefault="00CB11CF" w:rsidP="00970094">
      <w:pPr>
        <w:spacing w:after="0" w:line="240" w:lineRule="auto"/>
      </w:pPr>
      <w:r>
        <w:continuationSeparator/>
      </w:r>
    </w:p>
  </w:footnote>
  <w:footnote w:id="1">
    <w:p w14:paraId="35B53171" w14:textId="4DA35E4E" w:rsidR="00970094" w:rsidRDefault="00970094">
      <w:pPr>
        <w:pStyle w:val="Voetnoottekst"/>
      </w:pPr>
      <w:r>
        <w:rPr>
          <w:rStyle w:val="Voetnootmarkering"/>
        </w:rPr>
        <w:footnoteRef/>
      </w:r>
      <w:r>
        <w:t xml:space="preserve"> </w:t>
      </w:r>
      <w:hyperlink r:id="rId1" w:history="1">
        <w:r w:rsidRPr="00EC0A89">
          <w:rPr>
            <w:rStyle w:val="Hyperlink"/>
          </w:rPr>
          <w:t>https://klassieken.nu/wp-content/uploads/2017/06/Artikel-Evelien-Bracke.pdf</w:t>
        </w:r>
      </w:hyperlink>
    </w:p>
    <w:p w14:paraId="3C0F16DF" w14:textId="12C0BFEE" w:rsidR="00970094" w:rsidRDefault="00970094">
      <w:pPr>
        <w:pStyle w:val="Voetnoottekst"/>
      </w:pPr>
      <w:hyperlink r:id="rId2" w:history="1">
        <w:r w:rsidRPr="00EC0A89">
          <w:rPr>
            <w:rStyle w:val="Hyperlink"/>
          </w:rPr>
          <w:t>https://hic-nunc.be/nl/artikels/oudgrieks-en-latijn-op-de-basisschool-een-nieuwe-toolkit</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6C"/>
    <w:rsid w:val="001946BA"/>
    <w:rsid w:val="003E45D4"/>
    <w:rsid w:val="004608B9"/>
    <w:rsid w:val="005334C2"/>
    <w:rsid w:val="00576ECE"/>
    <w:rsid w:val="00866129"/>
    <w:rsid w:val="00970094"/>
    <w:rsid w:val="00AC5114"/>
    <w:rsid w:val="00B01DB8"/>
    <w:rsid w:val="00CB11CF"/>
    <w:rsid w:val="00CB4B51"/>
    <w:rsid w:val="00CB7C84"/>
    <w:rsid w:val="00EF7C6C"/>
    <w:rsid w:val="00F321C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8577"/>
  <w15:chartTrackingRefBased/>
  <w15:docId w15:val="{A4A5B2AA-85AD-4FF0-8D20-FA978081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7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7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7C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7C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7C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7C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7C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7C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7C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7C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7C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7C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7C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7C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7C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7C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7C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7C6C"/>
    <w:rPr>
      <w:rFonts w:eastAsiaTheme="majorEastAsia" w:cstheme="majorBidi"/>
      <w:color w:val="272727" w:themeColor="text1" w:themeTint="D8"/>
    </w:rPr>
  </w:style>
  <w:style w:type="paragraph" w:styleId="Titel">
    <w:name w:val="Title"/>
    <w:basedOn w:val="Standaard"/>
    <w:next w:val="Standaard"/>
    <w:link w:val="TitelChar"/>
    <w:uiPriority w:val="10"/>
    <w:qFormat/>
    <w:rsid w:val="00EF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7C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7C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7C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7C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7C6C"/>
    <w:rPr>
      <w:i/>
      <w:iCs/>
      <w:color w:val="404040" w:themeColor="text1" w:themeTint="BF"/>
    </w:rPr>
  </w:style>
  <w:style w:type="paragraph" w:styleId="Lijstalinea">
    <w:name w:val="List Paragraph"/>
    <w:basedOn w:val="Standaard"/>
    <w:uiPriority w:val="34"/>
    <w:qFormat/>
    <w:rsid w:val="00EF7C6C"/>
    <w:pPr>
      <w:ind w:left="720"/>
      <w:contextualSpacing/>
    </w:pPr>
  </w:style>
  <w:style w:type="character" w:styleId="Intensievebenadrukking">
    <w:name w:val="Intense Emphasis"/>
    <w:basedOn w:val="Standaardalinea-lettertype"/>
    <w:uiPriority w:val="21"/>
    <w:qFormat/>
    <w:rsid w:val="00EF7C6C"/>
    <w:rPr>
      <w:i/>
      <w:iCs/>
      <w:color w:val="0F4761" w:themeColor="accent1" w:themeShade="BF"/>
    </w:rPr>
  </w:style>
  <w:style w:type="paragraph" w:styleId="Duidelijkcitaat">
    <w:name w:val="Intense Quote"/>
    <w:basedOn w:val="Standaard"/>
    <w:next w:val="Standaard"/>
    <w:link w:val="DuidelijkcitaatChar"/>
    <w:uiPriority w:val="30"/>
    <w:qFormat/>
    <w:rsid w:val="00EF7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7C6C"/>
    <w:rPr>
      <w:i/>
      <w:iCs/>
      <w:color w:val="0F4761" w:themeColor="accent1" w:themeShade="BF"/>
    </w:rPr>
  </w:style>
  <w:style w:type="character" w:styleId="Intensieveverwijzing">
    <w:name w:val="Intense Reference"/>
    <w:basedOn w:val="Standaardalinea-lettertype"/>
    <w:uiPriority w:val="32"/>
    <w:qFormat/>
    <w:rsid w:val="00EF7C6C"/>
    <w:rPr>
      <w:b/>
      <w:bCs/>
      <w:smallCaps/>
      <w:color w:val="0F4761" w:themeColor="accent1" w:themeShade="BF"/>
      <w:spacing w:val="5"/>
    </w:rPr>
  </w:style>
  <w:style w:type="table" w:styleId="Tabelraster">
    <w:name w:val="Table Grid"/>
    <w:basedOn w:val="Standaardtabel"/>
    <w:uiPriority w:val="39"/>
    <w:rsid w:val="0046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700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0094"/>
    <w:rPr>
      <w:sz w:val="20"/>
      <w:szCs w:val="20"/>
    </w:rPr>
  </w:style>
  <w:style w:type="character" w:styleId="Voetnootmarkering">
    <w:name w:val="footnote reference"/>
    <w:basedOn w:val="Standaardalinea-lettertype"/>
    <w:uiPriority w:val="99"/>
    <w:semiHidden/>
    <w:unhideWhenUsed/>
    <w:rsid w:val="00970094"/>
    <w:rPr>
      <w:vertAlign w:val="superscript"/>
    </w:rPr>
  </w:style>
  <w:style w:type="character" w:styleId="Hyperlink">
    <w:name w:val="Hyperlink"/>
    <w:basedOn w:val="Standaardalinea-lettertype"/>
    <w:uiPriority w:val="99"/>
    <w:unhideWhenUsed/>
    <w:rsid w:val="00970094"/>
    <w:rPr>
      <w:color w:val="467886" w:themeColor="hyperlink"/>
      <w:u w:val="single"/>
    </w:rPr>
  </w:style>
  <w:style w:type="character" w:styleId="Onopgelostemelding">
    <w:name w:val="Unresolved Mention"/>
    <w:basedOn w:val="Standaardalinea-lettertype"/>
    <w:uiPriority w:val="99"/>
    <w:semiHidden/>
    <w:unhideWhenUsed/>
    <w:rsid w:val="00970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aromgymnasium.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hic-nunc.be/nl/artikels/oudgrieks-en-latijn-op-de-basisschool-een-nieuwe-toolkit" TargetMode="External"/><Relationship Id="rId1" Type="http://schemas.openxmlformats.org/officeDocument/2006/relationships/hyperlink" Target="https://klassieken.nu/wp-content/uploads/2017/06/Artikel-Evelien-Brack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5833-3E4E-42A8-80E5-3DB5FCF2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662</Words>
  <Characters>3862</Characters>
  <Application>Microsoft Office Word</Application>
  <DocSecurity>0</DocSecurity>
  <Lines>71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Henquet, Kristel</dc:creator>
  <cp:keywords/>
  <dc:description/>
  <cp:lastModifiedBy>Annemieke van der Plaat</cp:lastModifiedBy>
  <cp:revision>2</cp:revision>
  <dcterms:created xsi:type="dcterms:W3CDTF">2024-10-24T10:48:00Z</dcterms:created>
  <dcterms:modified xsi:type="dcterms:W3CDTF">2026-02-08T12:19:00Z</dcterms:modified>
</cp:coreProperties>
</file>